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D7D" w:rsidRPr="0086019F" w:rsidRDefault="00231D7D" w:rsidP="00AB5680">
      <w:pPr>
        <w:spacing w:line="480" w:lineRule="auto"/>
        <w:ind w:firstLine="720"/>
        <w:jc w:val="center"/>
        <w:rPr>
          <w:rFonts w:ascii="Times New Roman" w:hAnsi="Times New Roman" w:cs="Times New Roman"/>
          <w:b/>
          <w:sz w:val="24"/>
          <w:szCs w:val="24"/>
        </w:rPr>
      </w:pPr>
    </w:p>
    <w:p w:rsidR="00231D7D" w:rsidRPr="0086019F" w:rsidRDefault="00231D7D" w:rsidP="00AB5680">
      <w:pPr>
        <w:spacing w:line="480" w:lineRule="auto"/>
        <w:ind w:firstLine="720"/>
        <w:jc w:val="center"/>
        <w:rPr>
          <w:rFonts w:ascii="Times New Roman" w:hAnsi="Times New Roman" w:cs="Times New Roman"/>
          <w:b/>
          <w:sz w:val="24"/>
          <w:szCs w:val="24"/>
        </w:rPr>
      </w:pPr>
    </w:p>
    <w:p w:rsidR="00231D7D" w:rsidRPr="0086019F" w:rsidRDefault="00231D7D" w:rsidP="00AB5680">
      <w:pPr>
        <w:spacing w:line="480" w:lineRule="auto"/>
        <w:ind w:firstLine="720"/>
        <w:jc w:val="center"/>
        <w:rPr>
          <w:rFonts w:ascii="Times New Roman" w:hAnsi="Times New Roman" w:cs="Times New Roman"/>
          <w:b/>
          <w:sz w:val="24"/>
          <w:szCs w:val="24"/>
        </w:rPr>
      </w:pPr>
    </w:p>
    <w:p w:rsidR="00231D7D" w:rsidRPr="0086019F" w:rsidRDefault="00231D7D" w:rsidP="00AB5680">
      <w:pPr>
        <w:spacing w:line="480" w:lineRule="auto"/>
        <w:ind w:firstLine="720"/>
        <w:jc w:val="center"/>
        <w:rPr>
          <w:rFonts w:ascii="Times New Roman" w:hAnsi="Times New Roman" w:cs="Times New Roman"/>
          <w:b/>
          <w:sz w:val="24"/>
          <w:szCs w:val="24"/>
        </w:rPr>
      </w:pPr>
    </w:p>
    <w:p w:rsidR="00231D7D" w:rsidRPr="0086019F" w:rsidRDefault="00231D7D" w:rsidP="00AB5680">
      <w:pPr>
        <w:spacing w:line="480" w:lineRule="auto"/>
        <w:ind w:firstLine="720"/>
        <w:jc w:val="center"/>
        <w:rPr>
          <w:rFonts w:ascii="Times New Roman" w:hAnsi="Times New Roman" w:cs="Times New Roman"/>
          <w:b/>
          <w:sz w:val="24"/>
          <w:szCs w:val="24"/>
        </w:rPr>
      </w:pPr>
    </w:p>
    <w:p w:rsidR="00231D7D" w:rsidRPr="0086019F" w:rsidRDefault="00231D7D" w:rsidP="00AB5680">
      <w:pPr>
        <w:spacing w:line="480" w:lineRule="auto"/>
        <w:ind w:firstLine="720"/>
        <w:jc w:val="center"/>
        <w:rPr>
          <w:rFonts w:ascii="Times New Roman" w:hAnsi="Times New Roman" w:cs="Times New Roman"/>
          <w:b/>
          <w:sz w:val="24"/>
          <w:szCs w:val="24"/>
        </w:rPr>
      </w:pPr>
    </w:p>
    <w:p w:rsidR="00231D7D" w:rsidRPr="0086019F" w:rsidRDefault="00231D7D" w:rsidP="00AB5680">
      <w:pPr>
        <w:spacing w:line="480" w:lineRule="auto"/>
        <w:ind w:firstLine="720"/>
        <w:jc w:val="center"/>
        <w:rPr>
          <w:rFonts w:ascii="Times New Roman" w:hAnsi="Times New Roman" w:cs="Times New Roman"/>
          <w:b/>
          <w:sz w:val="24"/>
          <w:szCs w:val="24"/>
        </w:rPr>
      </w:pPr>
    </w:p>
    <w:p w:rsidR="00BF6FB3" w:rsidRPr="0086019F" w:rsidRDefault="00BF6FB3" w:rsidP="00BF6FB3">
      <w:pPr>
        <w:spacing w:after="0" w:line="480" w:lineRule="auto"/>
        <w:ind w:firstLine="720"/>
        <w:jc w:val="center"/>
        <w:rPr>
          <w:rFonts w:ascii="Times New Roman" w:hAnsi="Times New Roman" w:cs="Times New Roman"/>
          <w:b/>
          <w:sz w:val="24"/>
          <w:szCs w:val="24"/>
        </w:rPr>
      </w:pPr>
      <w:r w:rsidRPr="0086019F">
        <w:rPr>
          <w:rFonts w:ascii="Times New Roman" w:hAnsi="Times New Roman" w:cs="Times New Roman"/>
          <w:b/>
          <w:sz w:val="24"/>
          <w:szCs w:val="24"/>
        </w:rPr>
        <w:t xml:space="preserve">Questions </w:t>
      </w:r>
    </w:p>
    <w:p w:rsidR="00BF6FB3" w:rsidRPr="0086019F" w:rsidRDefault="00BF6FB3" w:rsidP="00BF6FB3">
      <w:pPr>
        <w:spacing w:after="0" w:line="480" w:lineRule="auto"/>
        <w:ind w:firstLine="720"/>
        <w:jc w:val="center"/>
        <w:rPr>
          <w:rFonts w:ascii="Times New Roman" w:eastAsia="Times New Roman" w:hAnsi="Times New Roman" w:cs="Times New Roman"/>
          <w:color w:val="0E101A"/>
          <w:sz w:val="24"/>
          <w:szCs w:val="24"/>
        </w:rPr>
      </w:pPr>
      <w:r w:rsidRPr="0086019F">
        <w:rPr>
          <w:rFonts w:ascii="Times New Roman" w:eastAsia="Times New Roman" w:hAnsi="Times New Roman" w:cs="Times New Roman"/>
          <w:color w:val="0E101A"/>
          <w:sz w:val="24"/>
          <w:szCs w:val="24"/>
        </w:rPr>
        <w:t>Name</w:t>
      </w:r>
    </w:p>
    <w:p w:rsidR="00BF6FB3" w:rsidRPr="0086019F" w:rsidRDefault="00BF6FB3" w:rsidP="00BF6FB3">
      <w:pPr>
        <w:spacing w:after="0" w:line="480" w:lineRule="auto"/>
        <w:ind w:firstLine="720"/>
        <w:jc w:val="center"/>
        <w:rPr>
          <w:rFonts w:ascii="Times New Roman" w:eastAsia="Times New Roman" w:hAnsi="Times New Roman" w:cs="Times New Roman"/>
          <w:color w:val="0E101A"/>
          <w:sz w:val="24"/>
          <w:szCs w:val="24"/>
        </w:rPr>
      </w:pPr>
      <w:r w:rsidRPr="0086019F">
        <w:rPr>
          <w:rFonts w:ascii="Times New Roman" w:eastAsia="Times New Roman" w:hAnsi="Times New Roman" w:cs="Times New Roman"/>
          <w:color w:val="0E101A"/>
          <w:sz w:val="24"/>
          <w:szCs w:val="24"/>
        </w:rPr>
        <w:t>Institution</w:t>
      </w:r>
    </w:p>
    <w:p w:rsidR="00BF6FB3" w:rsidRPr="0086019F" w:rsidRDefault="00BF6FB3" w:rsidP="00BF6FB3">
      <w:pPr>
        <w:spacing w:after="0" w:line="480" w:lineRule="auto"/>
        <w:ind w:firstLine="720"/>
        <w:jc w:val="center"/>
        <w:rPr>
          <w:rFonts w:ascii="Times New Roman" w:eastAsia="Times New Roman" w:hAnsi="Times New Roman" w:cs="Times New Roman"/>
          <w:color w:val="0E101A"/>
          <w:sz w:val="24"/>
          <w:szCs w:val="24"/>
        </w:rPr>
      </w:pPr>
      <w:r w:rsidRPr="0086019F">
        <w:rPr>
          <w:rFonts w:ascii="Times New Roman" w:eastAsia="Times New Roman" w:hAnsi="Times New Roman" w:cs="Times New Roman"/>
          <w:color w:val="0E101A"/>
          <w:sz w:val="24"/>
          <w:szCs w:val="24"/>
        </w:rPr>
        <w:t>Date</w:t>
      </w:r>
    </w:p>
    <w:p w:rsidR="00BF6FB3" w:rsidRPr="0086019F" w:rsidRDefault="00BF6FB3" w:rsidP="00BF6FB3">
      <w:pPr>
        <w:spacing w:line="480" w:lineRule="auto"/>
        <w:jc w:val="center"/>
        <w:rPr>
          <w:rFonts w:ascii="Times New Roman" w:hAnsi="Times New Roman" w:cs="Times New Roman"/>
          <w:b/>
          <w:sz w:val="24"/>
          <w:szCs w:val="24"/>
        </w:rPr>
      </w:pPr>
    </w:p>
    <w:p w:rsidR="00BF6FB3" w:rsidRPr="0086019F" w:rsidRDefault="00BF6FB3" w:rsidP="00BF6FB3">
      <w:pPr>
        <w:spacing w:line="480" w:lineRule="auto"/>
        <w:jc w:val="center"/>
        <w:rPr>
          <w:rFonts w:ascii="Times New Roman" w:hAnsi="Times New Roman" w:cs="Times New Roman"/>
          <w:b/>
          <w:sz w:val="24"/>
          <w:szCs w:val="24"/>
        </w:rPr>
      </w:pPr>
    </w:p>
    <w:p w:rsidR="00231D7D" w:rsidRPr="0086019F" w:rsidRDefault="00231D7D" w:rsidP="00AB5680">
      <w:pPr>
        <w:spacing w:line="480" w:lineRule="auto"/>
        <w:ind w:firstLine="720"/>
        <w:jc w:val="center"/>
        <w:rPr>
          <w:rFonts w:ascii="Times New Roman" w:hAnsi="Times New Roman" w:cs="Times New Roman"/>
          <w:b/>
          <w:sz w:val="24"/>
          <w:szCs w:val="24"/>
        </w:rPr>
      </w:pPr>
    </w:p>
    <w:p w:rsidR="00231D7D" w:rsidRPr="0086019F" w:rsidRDefault="00231D7D" w:rsidP="00AB5680">
      <w:pPr>
        <w:spacing w:line="480" w:lineRule="auto"/>
        <w:ind w:firstLine="720"/>
        <w:jc w:val="center"/>
        <w:rPr>
          <w:rFonts w:ascii="Times New Roman" w:hAnsi="Times New Roman" w:cs="Times New Roman"/>
          <w:b/>
          <w:sz w:val="24"/>
          <w:szCs w:val="24"/>
        </w:rPr>
      </w:pPr>
    </w:p>
    <w:p w:rsidR="00231D7D" w:rsidRPr="0086019F" w:rsidRDefault="00231D7D" w:rsidP="00AB5680">
      <w:pPr>
        <w:spacing w:line="480" w:lineRule="auto"/>
        <w:ind w:firstLine="720"/>
        <w:jc w:val="center"/>
        <w:rPr>
          <w:rFonts w:ascii="Times New Roman" w:hAnsi="Times New Roman" w:cs="Times New Roman"/>
          <w:b/>
          <w:sz w:val="24"/>
          <w:szCs w:val="24"/>
        </w:rPr>
      </w:pPr>
    </w:p>
    <w:p w:rsidR="00231D7D" w:rsidRPr="0086019F" w:rsidRDefault="00231D7D" w:rsidP="00AB5680">
      <w:pPr>
        <w:spacing w:line="480" w:lineRule="auto"/>
        <w:ind w:firstLine="720"/>
        <w:jc w:val="center"/>
        <w:rPr>
          <w:rFonts w:ascii="Times New Roman" w:hAnsi="Times New Roman" w:cs="Times New Roman"/>
          <w:b/>
          <w:sz w:val="24"/>
          <w:szCs w:val="24"/>
        </w:rPr>
      </w:pPr>
    </w:p>
    <w:p w:rsidR="00231D7D" w:rsidRPr="0086019F" w:rsidRDefault="00231D7D" w:rsidP="00BF6FB3">
      <w:pPr>
        <w:spacing w:line="480" w:lineRule="auto"/>
        <w:rPr>
          <w:rFonts w:ascii="Times New Roman" w:hAnsi="Times New Roman" w:cs="Times New Roman"/>
          <w:b/>
          <w:sz w:val="24"/>
          <w:szCs w:val="24"/>
        </w:rPr>
      </w:pPr>
    </w:p>
    <w:p w:rsidR="00BF6FB3" w:rsidRPr="0086019F" w:rsidRDefault="00BF6FB3" w:rsidP="00BF6FB3">
      <w:pPr>
        <w:spacing w:line="480" w:lineRule="auto"/>
        <w:rPr>
          <w:rFonts w:ascii="Times New Roman" w:hAnsi="Times New Roman" w:cs="Times New Roman"/>
          <w:b/>
          <w:sz w:val="24"/>
          <w:szCs w:val="24"/>
        </w:rPr>
      </w:pPr>
    </w:p>
    <w:p w:rsidR="00AB5680" w:rsidRPr="0086019F" w:rsidRDefault="00AB5680" w:rsidP="00AB5680">
      <w:pPr>
        <w:spacing w:line="480" w:lineRule="auto"/>
        <w:ind w:firstLine="720"/>
        <w:jc w:val="center"/>
        <w:rPr>
          <w:rFonts w:ascii="Times New Roman" w:hAnsi="Times New Roman" w:cs="Times New Roman"/>
          <w:b/>
          <w:sz w:val="24"/>
          <w:szCs w:val="24"/>
        </w:rPr>
      </w:pPr>
      <w:r w:rsidRPr="0086019F">
        <w:rPr>
          <w:rFonts w:ascii="Times New Roman" w:hAnsi="Times New Roman" w:cs="Times New Roman"/>
          <w:b/>
          <w:sz w:val="24"/>
          <w:szCs w:val="24"/>
        </w:rPr>
        <w:lastRenderedPageBreak/>
        <w:t>Questions</w:t>
      </w:r>
    </w:p>
    <w:p w:rsidR="00B75998" w:rsidRPr="0086019F" w:rsidRDefault="00B75998" w:rsidP="00AB5680">
      <w:pPr>
        <w:spacing w:line="480" w:lineRule="auto"/>
        <w:ind w:firstLine="720"/>
        <w:jc w:val="center"/>
        <w:rPr>
          <w:rFonts w:ascii="Times New Roman" w:hAnsi="Times New Roman" w:cs="Times New Roman"/>
          <w:b/>
          <w:sz w:val="24"/>
          <w:szCs w:val="24"/>
        </w:rPr>
      </w:pPr>
      <w:r w:rsidRPr="0086019F">
        <w:rPr>
          <w:rFonts w:ascii="Times New Roman" w:hAnsi="Times New Roman" w:cs="Times New Roman"/>
          <w:b/>
          <w:sz w:val="24"/>
          <w:szCs w:val="24"/>
        </w:rPr>
        <w:t>Question One</w:t>
      </w:r>
    </w:p>
    <w:p w:rsidR="00B75998" w:rsidRPr="0086019F" w:rsidRDefault="00B75998" w:rsidP="00BC6E7E">
      <w:pPr>
        <w:spacing w:line="480" w:lineRule="auto"/>
        <w:ind w:firstLine="720"/>
        <w:rPr>
          <w:rFonts w:ascii="Times New Roman" w:hAnsi="Times New Roman" w:cs="Times New Roman"/>
          <w:sz w:val="24"/>
          <w:szCs w:val="24"/>
        </w:rPr>
      </w:pPr>
      <w:r w:rsidRPr="0086019F">
        <w:rPr>
          <w:rFonts w:ascii="Times New Roman" w:hAnsi="Times New Roman" w:cs="Times New Roman"/>
          <w:sz w:val="24"/>
          <w:szCs w:val="24"/>
        </w:rPr>
        <w:t>The home Mortgage Disclosure Act (HMDA</w:t>
      </w:r>
      <w:r w:rsidR="006D541A" w:rsidRPr="0086019F">
        <w:rPr>
          <w:rFonts w:ascii="Times New Roman" w:hAnsi="Times New Roman" w:cs="Times New Roman"/>
          <w:sz w:val="24"/>
          <w:szCs w:val="24"/>
        </w:rPr>
        <w:t>) is a statute that compels financial</w:t>
      </w:r>
      <w:r w:rsidRPr="0086019F">
        <w:rPr>
          <w:rFonts w:ascii="Times New Roman" w:hAnsi="Times New Roman" w:cs="Times New Roman"/>
          <w:sz w:val="24"/>
          <w:szCs w:val="24"/>
        </w:rPr>
        <w:t xml:space="preserve"> institutions to report, collect, and disclose data that is used to determine whether they are serving the hou</w:t>
      </w:r>
      <w:r w:rsidR="00BC6E7E" w:rsidRPr="0086019F">
        <w:rPr>
          <w:rFonts w:ascii="Times New Roman" w:hAnsi="Times New Roman" w:cs="Times New Roman"/>
          <w:sz w:val="24"/>
          <w:szCs w:val="24"/>
        </w:rPr>
        <w:t xml:space="preserve">sing needs of their communities </w:t>
      </w:r>
      <w:r w:rsidR="00BC6E7E" w:rsidRPr="0086019F">
        <w:rPr>
          <w:rFonts w:ascii="Times New Roman" w:hAnsi="Times New Roman" w:cs="Times New Roman"/>
          <w:sz w:val="24"/>
          <w:szCs w:val="24"/>
        </w:rPr>
        <w:t>(</w:t>
      </w:r>
      <w:r w:rsidR="00BC6E7E" w:rsidRPr="0086019F">
        <w:rPr>
          <w:rFonts w:ascii="Times New Roman" w:hAnsi="Times New Roman" w:cs="Times New Roman"/>
          <w:color w:val="222222"/>
          <w:sz w:val="24"/>
          <w:szCs w:val="24"/>
          <w:shd w:val="clear" w:color="auto" w:fill="FFFFFF"/>
        </w:rPr>
        <w:t>Dietrich et al., 2019).</w:t>
      </w:r>
      <w:r w:rsidRPr="0086019F">
        <w:rPr>
          <w:rFonts w:ascii="Times New Roman" w:hAnsi="Times New Roman" w:cs="Times New Roman"/>
          <w:sz w:val="24"/>
          <w:szCs w:val="24"/>
        </w:rPr>
        <w:t>These data show any discriminatory lending patterns and facilitate the distribution of funds to draw private investments. Reg B aims to prevent applicants from being discriminated against in any aspect of credit transactions by outlining the rules lenders must follow to get and process credit information. HMDA data reported 10.3 mortgage applications in 2018, and approximately 2.0 million of the applicant were closed because they were incomplete, and others wit</w:t>
      </w:r>
      <w:r w:rsidR="00BC6E7E" w:rsidRPr="0086019F">
        <w:rPr>
          <w:rFonts w:ascii="Times New Roman" w:hAnsi="Times New Roman" w:cs="Times New Roman"/>
          <w:sz w:val="24"/>
          <w:szCs w:val="24"/>
        </w:rPr>
        <w:t xml:space="preserve">hdrew before they were reviewed </w:t>
      </w:r>
      <w:r w:rsidR="00BC6E7E" w:rsidRPr="0086019F">
        <w:rPr>
          <w:rFonts w:ascii="Times New Roman" w:hAnsi="Times New Roman" w:cs="Times New Roman"/>
          <w:sz w:val="24"/>
          <w:szCs w:val="24"/>
        </w:rPr>
        <w:t>(</w:t>
      </w:r>
      <w:r w:rsidR="00BC6E7E" w:rsidRPr="0086019F">
        <w:rPr>
          <w:rFonts w:ascii="Times New Roman" w:hAnsi="Times New Roman" w:cs="Times New Roman"/>
          <w:color w:val="222222"/>
          <w:sz w:val="24"/>
          <w:szCs w:val="24"/>
          <w:shd w:val="clear" w:color="auto" w:fill="FFFFFF"/>
        </w:rPr>
        <w:t>Dietrich et al., 2019).</w:t>
      </w:r>
      <w:r w:rsidRPr="0086019F">
        <w:rPr>
          <w:rFonts w:ascii="Times New Roman" w:hAnsi="Times New Roman" w:cs="Times New Roman"/>
          <w:sz w:val="24"/>
          <w:szCs w:val="24"/>
        </w:rPr>
        <w:t xml:space="preserve"> The data also show refinanced loans for properties of one to four families decreased by 23.1 percent, and application for mortgages refinance between 2017 and 2018 </w:t>
      </w:r>
      <w:r w:rsidR="00BC6E7E" w:rsidRPr="0086019F">
        <w:rPr>
          <w:rFonts w:ascii="Times New Roman" w:hAnsi="Times New Roman" w:cs="Times New Roman"/>
          <w:sz w:val="24"/>
          <w:szCs w:val="24"/>
        </w:rPr>
        <w:t xml:space="preserve">dropped from 4.9 to 3.8 million </w:t>
      </w:r>
      <w:r w:rsidR="00BC6E7E" w:rsidRPr="0086019F">
        <w:rPr>
          <w:rFonts w:ascii="Times New Roman" w:hAnsi="Times New Roman" w:cs="Times New Roman"/>
          <w:sz w:val="24"/>
          <w:szCs w:val="24"/>
        </w:rPr>
        <w:t>(</w:t>
      </w:r>
      <w:r w:rsidR="00BC6E7E" w:rsidRPr="0086019F">
        <w:rPr>
          <w:rFonts w:ascii="Times New Roman" w:hAnsi="Times New Roman" w:cs="Times New Roman"/>
          <w:color w:val="222222"/>
          <w:sz w:val="24"/>
          <w:szCs w:val="24"/>
          <w:shd w:val="clear" w:color="auto" w:fill="FFFFFF"/>
        </w:rPr>
        <w:t>Dietrich et al., 2019).</w:t>
      </w:r>
      <w:r w:rsidRPr="0086019F">
        <w:rPr>
          <w:rFonts w:ascii="Times New Roman" w:hAnsi="Times New Roman" w:cs="Times New Roman"/>
          <w:sz w:val="24"/>
          <w:szCs w:val="24"/>
        </w:rPr>
        <w:t xml:space="preserve"> The trend was associated with an increase in interest rates, </w:t>
      </w:r>
      <w:r w:rsidR="00150B6D" w:rsidRPr="0086019F">
        <w:rPr>
          <w:rFonts w:ascii="Times New Roman" w:hAnsi="Times New Roman" w:cs="Times New Roman"/>
          <w:sz w:val="24"/>
          <w:szCs w:val="24"/>
        </w:rPr>
        <w:t>which were high all through the year</w:t>
      </w:r>
      <w:r w:rsidRPr="0086019F">
        <w:rPr>
          <w:rFonts w:ascii="Times New Roman" w:hAnsi="Times New Roman" w:cs="Times New Roman"/>
          <w:sz w:val="24"/>
          <w:szCs w:val="24"/>
        </w:rPr>
        <w:t>. However, the purchase origination of one to the four-family property remained unchanged during this period. Generally, from HMDA data, the volume of investment loans declined in 2018, and this marked the end of u</w:t>
      </w:r>
      <w:r w:rsidR="00BC6E7E" w:rsidRPr="0086019F">
        <w:rPr>
          <w:rFonts w:ascii="Times New Roman" w:hAnsi="Times New Roman" w:cs="Times New Roman"/>
          <w:sz w:val="24"/>
          <w:szCs w:val="24"/>
        </w:rPr>
        <w:t xml:space="preserve">pward trade dating back to 2011 </w:t>
      </w:r>
      <w:r w:rsidR="00BC6E7E" w:rsidRPr="0086019F">
        <w:rPr>
          <w:rFonts w:ascii="Times New Roman" w:hAnsi="Times New Roman" w:cs="Times New Roman"/>
          <w:sz w:val="24"/>
          <w:szCs w:val="24"/>
        </w:rPr>
        <w:t>(</w:t>
      </w:r>
      <w:r w:rsidR="00BC6E7E" w:rsidRPr="0086019F">
        <w:rPr>
          <w:rFonts w:ascii="Times New Roman" w:hAnsi="Times New Roman" w:cs="Times New Roman"/>
          <w:color w:val="222222"/>
          <w:sz w:val="24"/>
          <w:szCs w:val="24"/>
          <w:shd w:val="clear" w:color="auto" w:fill="FFFFFF"/>
        </w:rPr>
        <w:t>Dietrich et al., 2019).</w:t>
      </w:r>
    </w:p>
    <w:p w:rsidR="00B75998" w:rsidRPr="0086019F" w:rsidRDefault="00B75998" w:rsidP="00AB5680">
      <w:pPr>
        <w:spacing w:line="480" w:lineRule="auto"/>
        <w:ind w:firstLine="720"/>
        <w:jc w:val="center"/>
        <w:rPr>
          <w:rFonts w:ascii="Times New Roman" w:hAnsi="Times New Roman" w:cs="Times New Roman"/>
          <w:b/>
          <w:sz w:val="24"/>
          <w:szCs w:val="24"/>
        </w:rPr>
      </w:pPr>
      <w:r w:rsidRPr="0086019F">
        <w:rPr>
          <w:rFonts w:ascii="Times New Roman" w:hAnsi="Times New Roman" w:cs="Times New Roman"/>
          <w:b/>
          <w:sz w:val="24"/>
          <w:szCs w:val="24"/>
        </w:rPr>
        <w:t>Question Two</w:t>
      </w:r>
    </w:p>
    <w:p w:rsidR="00B75998" w:rsidRPr="0086019F" w:rsidRDefault="00B75998" w:rsidP="00AB5680">
      <w:pPr>
        <w:spacing w:line="480" w:lineRule="auto"/>
        <w:ind w:firstLine="720"/>
        <w:rPr>
          <w:rFonts w:ascii="Times New Roman" w:hAnsi="Times New Roman" w:cs="Times New Roman"/>
          <w:sz w:val="24"/>
          <w:szCs w:val="24"/>
        </w:rPr>
      </w:pPr>
      <w:r w:rsidRPr="0086019F">
        <w:rPr>
          <w:rFonts w:ascii="Times New Roman" w:hAnsi="Times New Roman" w:cs="Times New Roman"/>
          <w:sz w:val="24"/>
          <w:szCs w:val="24"/>
        </w:rPr>
        <w:t xml:space="preserve">CFPB sought to alter the HMDA data collection thresholds by proposing some changes to the coverages of closed-end mortgage loans. Previously HMDA included open-end LOCS that is reverse mortgages and application for a loan purpose rather than purchase. Therefore CFPB proposed to raise the threshold for covering and reporting about open-end lines of credit under </w:t>
      </w:r>
      <w:r w:rsidRPr="0086019F">
        <w:rPr>
          <w:rFonts w:ascii="Times New Roman" w:hAnsi="Times New Roman" w:cs="Times New Roman"/>
          <w:sz w:val="24"/>
          <w:szCs w:val="24"/>
        </w:rPr>
        <w:lastRenderedPageBreak/>
        <w:t xml:space="preserve">the HMDA rules. The reporting of data by small lenders to HMDA was altered, and they were exempted from some of the requirements, which came as a relief to them. Besides, the board </w:t>
      </w:r>
      <w:r w:rsidR="00150B6D" w:rsidRPr="0086019F">
        <w:rPr>
          <w:rFonts w:ascii="Times New Roman" w:hAnsi="Times New Roman" w:cs="Times New Roman"/>
          <w:sz w:val="24"/>
          <w:szCs w:val="24"/>
        </w:rPr>
        <w:t>wanted establish the</w:t>
      </w:r>
      <w:r w:rsidRPr="0086019F">
        <w:rPr>
          <w:rFonts w:ascii="Times New Roman" w:hAnsi="Times New Roman" w:cs="Times New Roman"/>
          <w:sz w:val="24"/>
          <w:szCs w:val="24"/>
        </w:rPr>
        <w:t xml:space="preserve"> costs and benefits of financial institutions r</w:t>
      </w:r>
      <w:r w:rsidR="00BC6E7E" w:rsidRPr="0086019F">
        <w:rPr>
          <w:rFonts w:ascii="Times New Roman" w:hAnsi="Times New Roman" w:cs="Times New Roman"/>
          <w:sz w:val="24"/>
          <w:szCs w:val="24"/>
        </w:rPr>
        <w:t>eporting data points under HMDA (</w:t>
      </w:r>
      <w:r w:rsidR="00BC6E7E" w:rsidRPr="0086019F">
        <w:rPr>
          <w:rFonts w:ascii="Times New Roman" w:hAnsi="Times New Roman" w:cs="Times New Roman"/>
          <w:color w:val="222222"/>
          <w:sz w:val="24"/>
          <w:szCs w:val="24"/>
          <w:shd w:val="clear" w:color="auto" w:fill="FFFFFF"/>
        </w:rPr>
        <w:t>Dietrich</w:t>
      </w:r>
      <w:r w:rsidR="00BC6E7E" w:rsidRPr="0086019F">
        <w:rPr>
          <w:rFonts w:ascii="Times New Roman" w:hAnsi="Times New Roman" w:cs="Times New Roman"/>
          <w:color w:val="222222"/>
          <w:sz w:val="24"/>
          <w:szCs w:val="24"/>
          <w:shd w:val="clear" w:color="auto" w:fill="FFFFFF"/>
        </w:rPr>
        <w:t xml:space="preserve"> et al., 2019).</w:t>
      </w:r>
    </w:p>
    <w:p w:rsidR="00B75998" w:rsidRPr="0086019F" w:rsidRDefault="00150B6D" w:rsidP="00AB5680">
      <w:pPr>
        <w:spacing w:line="480" w:lineRule="auto"/>
        <w:ind w:firstLine="720"/>
        <w:jc w:val="center"/>
        <w:rPr>
          <w:rFonts w:ascii="Times New Roman" w:hAnsi="Times New Roman" w:cs="Times New Roman"/>
          <w:b/>
          <w:sz w:val="24"/>
          <w:szCs w:val="24"/>
        </w:rPr>
      </w:pPr>
      <w:r w:rsidRPr="0086019F">
        <w:rPr>
          <w:rFonts w:ascii="Times New Roman" w:hAnsi="Times New Roman" w:cs="Times New Roman"/>
          <w:b/>
          <w:sz w:val="24"/>
          <w:szCs w:val="24"/>
        </w:rPr>
        <w:t>Question</w:t>
      </w:r>
      <w:r w:rsidR="00B75998" w:rsidRPr="0086019F">
        <w:rPr>
          <w:rFonts w:ascii="Times New Roman" w:hAnsi="Times New Roman" w:cs="Times New Roman"/>
          <w:b/>
          <w:sz w:val="24"/>
          <w:szCs w:val="24"/>
        </w:rPr>
        <w:t xml:space="preserve"> Three</w:t>
      </w:r>
    </w:p>
    <w:p w:rsidR="00B75998" w:rsidRPr="0086019F" w:rsidRDefault="00150B6D" w:rsidP="00BC6E7E">
      <w:pPr>
        <w:spacing w:line="480" w:lineRule="auto"/>
        <w:ind w:firstLine="720"/>
        <w:rPr>
          <w:rFonts w:ascii="Times New Roman" w:hAnsi="Times New Roman" w:cs="Times New Roman"/>
          <w:sz w:val="24"/>
          <w:szCs w:val="24"/>
        </w:rPr>
      </w:pPr>
      <w:r w:rsidRPr="0086019F">
        <w:rPr>
          <w:rFonts w:ascii="Times New Roman" w:hAnsi="Times New Roman" w:cs="Times New Roman"/>
          <w:sz w:val="24"/>
          <w:szCs w:val="24"/>
        </w:rPr>
        <w:t>Fair lending practices</w:t>
      </w:r>
      <w:r w:rsidR="00B75998" w:rsidRPr="0086019F">
        <w:rPr>
          <w:rFonts w:ascii="Times New Roman" w:hAnsi="Times New Roman" w:cs="Times New Roman"/>
          <w:sz w:val="24"/>
          <w:szCs w:val="24"/>
        </w:rPr>
        <w:t xml:space="preserve"> and the laws that govern it prohibit discrimination and protect</w:t>
      </w:r>
      <w:r w:rsidRPr="0086019F">
        <w:rPr>
          <w:rFonts w:ascii="Times New Roman" w:hAnsi="Times New Roman" w:cs="Times New Roman"/>
          <w:sz w:val="24"/>
          <w:szCs w:val="24"/>
        </w:rPr>
        <w:t>s</w:t>
      </w:r>
      <w:r w:rsidR="00B75998" w:rsidRPr="0086019F">
        <w:rPr>
          <w:rFonts w:ascii="Times New Roman" w:hAnsi="Times New Roman" w:cs="Times New Roman"/>
          <w:sz w:val="24"/>
          <w:szCs w:val="24"/>
        </w:rPr>
        <w:t xml:space="preserve"> consumers in credit transactions, including those related to housing. Some mortgages with fees specified above certain levels under the Home Ownership and Equity Protection (HOEPA) are subject to consumer protections and an additional featu</w:t>
      </w:r>
      <w:r w:rsidR="00BC6E7E" w:rsidRPr="0086019F">
        <w:rPr>
          <w:rFonts w:ascii="Times New Roman" w:hAnsi="Times New Roman" w:cs="Times New Roman"/>
          <w:sz w:val="24"/>
          <w:szCs w:val="24"/>
        </w:rPr>
        <w:t xml:space="preserve">re of restriction on the loans </w:t>
      </w:r>
      <w:r w:rsidR="00BC6E7E" w:rsidRPr="0086019F">
        <w:rPr>
          <w:rFonts w:ascii="Times New Roman" w:hAnsi="Times New Roman" w:cs="Times New Roman"/>
          <w:sz w:val="24"/>
          <w:szCs w:val="24"/>
        </w:rPr>
        <w:t>(</w:t>
      </w:r>
      <w:r w:rsidR="00BC6E7E" w:rsidRPr="0086019F">
        <w:rPr>
          <w:rFonts w:ascii="Times New Roman" w:hAnsi="Times New Roman" w:cs="Times New Roman"/>
          <w:color w:val="222222"/>
          <w:sz w:val="24"/>
          <w:szCs w:val="24"/>
          <w:shd w:val="clear" w:color="auto" w:fill="FFFFFF"/>
        </w:rPr>
        <w:t>Dietrich et al., 2019).</w:t>
      </w:r>
      <w:r w:rsidR="00B75998" w:rsidRPr="0086019F">
        <w:rPr>
          <w:rFonts w:ascii="Times New Roman" w:hAnsi="Times New Roman" w:cs="Times New Roman"/>
          <w:sz w:val="24"/>
          <w:szCs w:val="24"/>
        </w:rPr>
        <w:t>The HOEPA extends its protection to home equity loans and includes protection for a mortgage that has high costs. These laws advocate for fair lending through acts such as the Equal Opportunity Act and Fair Housing, and they are considered as Regulation B.</w:t>
      </w:r>
    </w:p>
    <w:p w:rsidR="00B75998" w:rsidRPr="0086019F" w:rsidRDefault="00B75998" w:rsidP="00AB5680">
      <w:pPr>
        <w:spacing w:line="480" w:lineRule="auto"/>
        <w:ind w:firstLine="720"/>
        <w:jc w:val="center"/>
        <w:rPr>
          <w:rFonts w:ascii="Times New Roman" w:hAnsi="Times New Roman" w:cs="Times New Roman"/>
          <w:b/>
          <w:sz w:val="24"/>
          <w:szCs w:val="24"/>
        </w:rPr>
      </w:pPr>
      <w:r w:rsidRPr="0086019F">
        <w:rPr>
          <w:rFonts w:ascii="Times New Roman" w:hAnsi="Times New Roman" w:cs="Times New Roman"/>
          <w:b/>
          <w:sz w:val="24"/>
          <w:szCs w:val="24"/>
        </w:rPr>
        <w:t>Question Four</w:t>
      </w:r>
    </w:p>
    <w:p w:rsidR="00B75998" w:rsidRPr="0086019F" w:rsidRDefault="00B75998" w:rsidP="00AB5680">
      <w:pPr>
        <w:spacing w:line="480" w:lineRule="auto"/>
        <w:ind w:firstLine="720"/>
        <w:rPr>
          <w:rFonts w:ascii="Times New Roman" w:hAnsi="Times New Roman" w:cs="Times New Roman"/>
          <w:sz w:val="24"/>
          <w:szCs w:val="24"/>
        </w:rPr>
      </w:pPr>
      <w:r w:rsidRPr="0086019F">
        <w:rPr>
          <w:rFonts w:ascii="Times New Roman" w:hAnsi="Times New Roman" w:cs="Times New Roman"/>
          <w:sz w:val="24"/>
          <w:szCs w:val="24"/>
        </w:rPr>
        <w:t>Financial firms are worried about Biden administration because the business-friendly practices by the Consumer Financial Protection Bureau (CFCB) are likely to end if elected. People have argued that the penalties and enforcements regulations might get harsher. Under the Trump administration, the CFCB has grown less forceful, and it is expected that if Biden is elected, it will financial regulations wi</w:t>
      </w:r>
      <w:r w:rsidR="00BC6E7E" w:rsidRPr="0086019F">
        <w:rPr>
          <w:rFonts w:ascii="Times New Roman" w:hAnsi="Times New Roman" w:cs="Times New Roman"/>
          <w:sz w:val="24"/>
          <w:szCs w:val="24"/>
        </w:rPr>
        <w:t xml:space="preserve">ll be tighter on lending firms </w:t>
      </w:r>
      <w:r w:rsidR="00BC6E7E" w:rsidRPr="0086019F">
        <w:rPr>
          <w:rFonts w:ascii="Times New Roman" w:hAnsi="Times New Roman" w:cs="Times New Roman"/>
          <w:sz w:val="24"/>
          <w:szCs w:val="24"/>
        </w:rPr>
        <w:t>(McCaffrey &amp; Andriotis, 2020).</w:t>
      </w:r>
      <w:r w:rsidR="00BC6E7E" w:rsidRPr="0086019F">
        <w:rPr>
          <w:rFonts w:ascii="Times New Roman" w:hAnsi="Times New Roman" w:cs="Times New Roman"/>
          <w:sz w:val="24"/>
          <w:szCs w:val="24"/>
        </w:rPr>
        <w:t xml:space="preserve"> </w:t>
      </w:r>
      <w:r w:rsidRPr="0086019F">
        <w:rPr>
          <w:rFonts w:ascii="Times New Roman" w:hAnsi="Times New Roman" w:cs="Times New Roman"/>
          <w:sz w:val="24"/>
          <w:szCs w:val="24"/>
        </w:rPr>
        <w:t xml:space="preserve">Notably, the CFCB came into operation during Biden's tenure as vice president, and its mission was protecting consumers and ensuring sound and safe lending. Therefore, financial firms' projects that the Biden administration would renew their focus on central areas prior to establishing the bureau. The acts of penalizing firms for breaking the rules and without giving </w:t>
      </w:r>
      <w:r w:rsidRPr="0086019F">
        <w:rPr>
          <w:rFonts w:ascii="Times New Roman" w:hAnsi="Times New Roman" w:cs="Times New Roman"/>
          <w:sz w:val="24"/>
          <w:szCs w:val="24"/>
        </w:rPr>
        <w:lastRenderedPageBreak/>
        <w:t>them a fair chance to comply because of strict regulations make financial products expensive. Therefore under the leadership of B</w:t>
      </w:r>
      <w:r w:rsidR="00BC6E7E" w:rsidRPr="0086019F">
        <w:rPr>
          <w:rFonts w:ascii="Times New Roman" w:hAnsi="Times New Roman" w:cs="Times New Roman"/>
          <w:sz w:val="24"/>
          <w:szCs w:val="24"/>
        </w:rPr>
        <w:t>iden, this would hurt the lending firms (McCaffrey</w:t>
      </w:r>
      <w:r w:rsidR="00BC6E7E" w:rsidRPr="0086019F">
        <w:rPr>
          <w:rFonts w:ascii="Times New Roman" w:hAnsi="Times New Roman" w:cs="Times New Roman"/>
          <w:sz w:val="24"/>
          <w:szCs w:val="24"/>
        </w:rPr>
        <w:t xml:space="preserve"> &amp; Andriotis</w:t>
      </w:r>
      <w:r w:rsidR="00BC6E7E" w:rsidRPr="0086019F">
        <w:rPr>
          <w:rFonts w:ascii="Times New Roman" w:hAnsi="Times New Roman" w:cs="Times New Roman"/>
          <w:sz w:val="24"/>
          <w:szCs w:val="24"/>
        </w:rPr>
        <w:t xml:space="preserve">, </w:t>
      </w:r>
      <w:r w:rsidR="00BC6E7E" w:rsidRPr="0086019F">
        <w:rPr>
          <w:rFonts w:ascii="Times New Roman" w:hAnsi="Times New Roman" w:cs="Times New Roman"/>
          <w:sz w:val="24"/>
          <w:szCs w:val="24"/>
        </w:rPr>
        <w:t>2020).</w:t>
      </w:r>
    </w:p>
    <w:p w:rsidR="00B75998" w:rsidRPr="0086019F" w:rsidRDefault="00B75998" w:rsidP="00AB5680">
      <w:pPr>
        <w:spacing w:line="480" w:lineRule="auto"/>
        <w:ind w:firstLine="720"/>
        <w:jc w:val="center"/>
        <w:rPr>
          <w:rFonts w:ascii="Times New Roman" w:hAnsi="Times New Roman" w:cs="Times New Roman"/>
          <w:b/>
          <w:sz w:val="24"/>
          <w:szCs w:val="24"/>
        </w:rPr>
      </w:pPr>
      <w:r w:rsidRPr="0086019F">
        <w:rPr>
          <w:rFonts w:ascii="Times New Roman" w:hAnsi="Times New Roman" w:cs="Times New Roman"/>
          <w:b/>
          <w:sz w:val="24"/>
          <w:szCs w:val="24"/>
        </w:rPr>
        <w:t>Question Five</w:t>
      </w:r>
    </w:p>
    <w:p w:rsidR="00BC6E7E" w:rsidRPr="0086019F" w:rsidRDefault="00B75998" w:rsidP="00BC6E7E">
      <w:pPr>
        <w:spacing w:line="480" w:lineRule="auto"/>
        <w:ind w:firstLine="720"/>
        <w:rPr>
          <w:rFonts w:ascii="Times New Roman" w:hAnsi="Times New Roman" w:cs="Times New Roman"/>
          <w:sz w:val="24"/>
          <w:szCs w:val="24"/>
        </w:rPr>
      </w:pPr>
      <w:r w:rsidRPr="0086019F">
        <w:rPr>
          <w:rFonts w:ascii="Times New Roman" w:hAnsi="Times New Roman" w:cs="Times New Roman"/>
          <w:sz w:val="24"/>
          <w:szCs w:val="24"/>
        </w:rPr>
        <w:t>Disparate impact is the unintentional discrimination in lending. The policies and rules of lending appear to be neutral, but when the practice results in a disproportionate impact on protected groups, that amount to unintentional discrimination. In some disparate treatment incidences, lenders may treat credit applicants differently based on one of the prohibited factors. Therefore they exclude credit applicants on the basis of a part</w:t>
      </w:r>
      <w:r w:rsidR="00150B6D" w:rsidRPr="0086019F">
        <w:rPr>
          <w:rFonts w:ascii="Times New Roman" w:hAnsi="Times New Roman" w:cs="Times New Roman"/>
          <w:sz w:val="24"/>
          <w:szCs w:val="24"/>
        </w:rPr>
        <w:t>icular person falling in a protected group.</w:t>
      </w:r>
      <w:r w:rsidRPr="0086019F">
        <w:rPr>
          <w:rFonts w:ascii="Times New Roman" w:hAnsi="Times New Roman" w:cs="Times New Roman"/>
          <w:sz w:val="24"/>
          <w:szCs w:val="24"/>
        </w:rPr>
        <w:t xml:space="preserve"> Suppose the lender policy falls under the disparate impact. In that case, they might review if there is justification based on business necessity. However, it may amount to violation</w:t>
      </w:r>
      <w:r w:rsidR="004202B4">
        <w:rPr>
          <w:rFonts w:ascii="Times New Roman" w:hAnsi="Times New Roman" w:cs="Times New Roman"/>
          <w:sz w:val="24"/>
          <w:szCs w:val="24"/>
        </w:rPr>
        <w:t xml:space="preserve"> of lending rules</w:t>
      </w:r>
      <w:r w:rsidRPr="0086019F">
        <w:rPr>
          <w:rFonts w:ascii="Times New Roman" w:hAnsi="Times New Roman" w:cs="Times New Roman"/>
          <w:sz w:val="24"/>
          <w:szCs w:val="24"/>
        </w:rPr>
        <w:t xml:space="preserve"> using an alternative policy that would offer</w:t>
      </w:r>
      <w:bookmarkStart w:id="0" w:name="_GoBack"/>
      <w:bookmarkEnd w:id="0"/>
      <w:r w:rsidR="00BC6E7E" w:rsidRPr="0086019F">
        <w:rPr>
          <w:rFonts w:ascii="Times New Roman" w:hAnsi="Times New Roman" w:cs="Times New Roman"/>
          <w:sz w:val="24"/>
          <w:szCs w:val="24"/>
        </w:rPr>
        <w:t xml:space="preserve"> less discrimination if adopted </w:t>
      </w:r>
      <w:r w:rsidR="00BC6E7E" w:rsidRPr="0086019F">
        <w:rPr>
          <w:rFonts w:ascii="Times New Roman" w:hAnsi="Times New Roman" w:cs="Times New Roman"/>
          <w:sz w:val="24"/>
          <w:szCs w:val="24"/>
        </w:rPr>
        <w:t>(</w:t>
      </w:r>
      <w:r w:rsidR="00BC6E7E" w:rsidRPr="0086019F">
        <w:rPr>
          <w:rFonts w:ascii="Times New Roman" w:hAnsi="Times New Roman" w:cs="Times New Roman"/>
          <w:color w:val="222222"/>
          <w:sz w:val="24"/>
          <w:szCs w:val="24"/>
          <w:shd w:val="clear" w:color="auto" w:fill="FFFFFF"/>
        </w:rPr>
        <w:t>Dietrich et al., 2019).</w:t>
      </w:r>
    </w:p>
    <w:p w:rsidR="00B75998" w:rsidRPr="0086019F" w:rsidRDefault="00B75998" w:rsidP="00AB5680">
      <w:pPr>
        <w:spacing w:line="480" w:lineRule="auto"/>
        <w:ind w:firstLine="720"/>
        <w:rPr>
          <w:rFonts w:ascii="Times New Roman" w:hAnsi="Times New Roman" w:cs="Times New Roman"/>
          <w:sz w:val="24"/>
          <w:szCs w:val="24"/>
        </w:rPr>
      </w:pPr>
    </w:p>
    <w:p w:rsidR="00B75998" w:rsidRPr="0086019F" w:rsidRDefault="00B75998" w:rsidP="00AB5680">
      <w:pPr>
        <w:spacing w:line="480" w:lineRule="auto"/>
        <w:rPr>
          <w:rFonts w:ascii="Times New Roman" w:hAnsi="Times New Roman" w:cs="Times New Roman"/>
          <w:sz w:val="24"/>
          <w:szCs w:val="24"/>
        </w:rPr>
      </w:pPr>
    </w:p>
    <w:p w:rsidR="00385448" w:rsidRPr="0086019F" w:rsidRDefault="00385448" w:rsidP="00AB5680">
      <w:pPr>
        <w:spacing w:line="480" w:lineRule="auto"/>
        <w:rPr>
          <w:rFonts w:ascii="Times New Roman" w:hAnsi="Times New Roman" w:cs="Times New Roman"/>
          <w:sz w:val="24"/>
          <w:szCs w:val="24"/>
        </w:rPr>
      </w:pPr>
    </w:p>
    <w:p w:rsidR="00AB5680" w:rsidRPr="0086019F" w:rsidRDefault="00AB5680" w:rsidP="00AB5680">
      <w:pPr>
        <w:spacing w:line="480" w:lineRule="auto"/>
        <w:rPr>
          <w:rFonts w:ascii="Times New Roman" w:hAnsi="Times New Roman" w:cs="Times New Roman"/>
          <w:sz w:val="24"/>
          <w:szCs w:val="24"/>
        </w:rPr>
      </w:pPr>
    </w:p>
    <w:p w:rsidR="00AB5680" w:rsidRPr="0086019F" w:rsidRDefault="00AB5680" w:rsidP="00AB5680">
      <w:pPr>
        <w:spacing w:line="480" w:lineRule="auto"/>
        <w:rPr>
          <w:rFonts w:ascii="Times New Roman" w:hAnsi="Times New Roman" w:cs="Times New Roman"/>
          <w:sz w:val="24"/>
          <w:szCs w:val="24"/>
        </w:rPr>
      </w:pPr>
    </w:p>
    <w:p w:rsidR="00AB5680" w:rsidRPr="0086019F" w:rsidRDefault="00AB5680" w:rsidP="00AB5680">
      <w:pPr>
        <w:spacing w:line="480" w:lineRule="auto"/>
        <w:rPr>
          <w:rFonts w:ascii="Times New Roman" w:hAnsi="Times New Roman" w:cs="Times New Roman"/>
          <w:sz w:val="24"/>
          <w:szCs w:val="24"/>
        </w:rPr>
      </w:pPr>
    </w:p>
    <w:p w:rsidR="00AB5680" w:rsidRPr="0086019F" w:rsidRDefault="00AB5680" w:rsidP="00AB5680">
      <w:pPr>
        <w:spacing w:line="480" w:lineRule="auto"/>
        <w:rPr>
          <w:rFonts w:ascii="Times New Roman" w:hAnsi="Times New Roman" w:cs="Times New Roman"/>
          <w:sz w:val="24"/>
          <w:szCs w:val="24"/>
        </w:rPr>
      </w:pPr>
    </w:p>
    <w:p w:rsidR="00AB5680" w:rsidRPr="0086019F" w:rsidRDefault="00AB5680" w:rsidP="00AB5680">
      <w:pPr>
        <w:spacing w:line="480" w:lineRule="auto"/>
        <w:rPr>
          <w:rFonts w:ascii="Times New Roman" w:hAnsi="Times New Roman" w:cs="Times New Roman"/>
          <w:sz w:val="24"/>
          <w:szCs w:val="24"/>
        </w:rPr>
      </w:pPr>
    </w:p>
    <w:p w:rsidR="00AB5680" w:rsidRPr="0086019F" w:rsidRDefault="00AB5680" w:rsidP="00BC6E7E">
      <w:pPr>
        <w:spacing w:line="480" w:lineRule="auto"/>
        <w:jc w:val="center"/>
        <w:rPr>
          <w:rFonts w:ascii="Times New Roman" w:hAnsi="Times New Roman" w:cs="Times New Roman"/>
          <w:b/>
          <w:sz w:val="24"/>
          <w:szCs w:val="24"/>
        </w:rPr>
      </w:pPr>
      <w:r w:rsidRPr="0086019F">
        <w:rPr>
          <w:rFonts w:ascii="Times New Roman" w:hAnsi="Times New Roman" w:cs="Times New Roman"/>
          <w:b/>
          <w:sz w:val="24"/>
          <w:szCs w:val="24"/>
        </w:rPr>
        <w:lastRenderedPageBreak/>
        <w:t>References</w:t>
      </w:r>
    </w:p>
    <w:p w:rsidR="00BC6E7E" w:rsidRPr="0086019F" w:rsidRDefault="00BC6E7E" w:rsidP="0086019F">
      <w:pPr>
        <w:spacing w:line="480" w:lineRule="auto"/>
        <w:ind w:left="720" w:hanging="720"/>
        <w:rPr>
          <w:rFonts w:ascii="Times New Roman" w:hAnsi="Times New Roman" w:cs="Times New Roman"/>
          <w:sz w:val="24"/>
          <w:szCs w:val="24"/>
        </w:rPr>
      </w:pPr>
      <w:r w:rsidRPr="0086019F">
        <w:rPr>
          <w:rFonts w:ascii="Times New Roman" w:hAnsi="Times New Roman" w:cs="Times New Roman"/>
          <w:color w:val="222222"/>
          <w:sz w:val="24"/>
          <w:szCs w:val="24"/>
          <w:shd w:val="clear" w:color="auto" w:fill="FFFFFF"/>
        </w:rPr>
        <w:t xml:space="preserve">Dietrich, J., Liu, F., </w:t>
      </w:r>
      <w:proofErr w:type="spellStart"/>
      <w:r w:rsidRPr="0086019F">
        <w:rPr>
          <w:rFonts w:ascii="Times New Roman" w:hAnsi="Times New Roman" w:cs="Times New Roman"/>
          <w:color w:val="222222"/>
          <w:sz w:val="24"/>
          <w:szCs w:val="24"/>
          <w:shd w:val="clear" w:color="auto" w:fill="FFFFFF"/>
        </w:rPr>
        <w:t>Skhirtladze</w:t>
      </w:r>
      <w:proofErr w:type="spellEnd"/>
      <w:r w:rsidRPr="0086019F">
        <w:rPr>
          <w:rFonts w:ascii="Times New Roman" w:hAnsi="Times New Roman" w:cs="Times New Roman"/>
          <w:color w:val="222222"/>
          <w:sz w:val="24"/>
          <w:szCs w:val="24"/>
          <w:shd w:val="clear" w:color="auto" w:fill="FFFFFF"/>
        </w:rPr>
        <w:t xml:space="preserve">, A., Davies, M., Jo, Y., &amp; </w:t>
      </w:r>
      <w:proofErr w:type="spellStart"/>
      <w:r w:rsidRPr="0086019F">
        <w:rPr>
          <w:rFonts w:ascii="Times New Roman" w:hAnsi="Times New Roman" w:cs="Times New Roman"/>
          <w:color w:val="222222"/>
          <w:sz w:val="24"/>
          <w:szCs w:val="24"/>
          <w:shd w:val="clear" w:color="auto" w:fill="FFFFFF"/>
        </w:rPr>
        <w:t>Candilis</w:t>
      </w:r>
      <w:proofErr w:type="spellEnd"/>
      <w:r w:rsidRPr="0086019F">
        <w:rPr>
          <w:rFonts w:ascii="Times New Roman" w:hAnsi="Times New Roman" w:cs="Times New Roman"/>
          <w:color w:val="222222"/>
          <w:sz w:val="24"/>
          <w:szCs w:val="24"/>
          <w:shd w:val="clear" w:color="auto" w:fill="FFFFFF"/>
        </w:rPr>
        <w:t>, C. (2019). Data Point: 2018 Mortgage Market Activity and Trends. </w:t>
      </w:r>
      <w:r w:rsidRPr="0086019F">
        <w:rPr>
          <w:rFonts w:ascii="Times New Roman" w:hAnsi="Times New Roman" w:cs="Times New Roman"/>
          <w:i/>
          <w:iCs/>
          <w:color w:val="222222"/>
          <w:sz w:val="24"/>
          <w:szCs w:val="24"/>
          <w:shd w:val="clear" w:color="auto" w:fill="FFFFFF"/>
        </w:rPr>
        <w:t>Consumer Financial Protection Bureau, October</w:t>
      </w:r>
      <w:r w:rsidRPr="0086019F">
        <w:rPr>
          <w:rFonts w:ascii="Times New Roman" w:hAnsi="Times New Roman" w:cs="Times New Roman"/>
          <w:color w:val="222222"/>
          <w:sz w:val="24"/>
          <w:szCs w:val="24"/>
          <w:shd w:val="clear" w:color="auto" w:fill="FFFFFF"/>
        </w:rPr>
        <w:t>.</w:t>
      </w:r>
    </w:p>
    <w:p w:rsidR="00AB5680" w:rsidRPr="0086019F" w:rsidRDefault="00AB5680" w:rsidP="0086019F">
      <w:pPr>
        <w:spacing w:line="480" w:lineRule="auto"/>
        <w:ind w:left="720" w:hanging="720"/>
        <w:rPr>
          <w:rFonts w:ascii="Times New Roman" w:hAnsi="Times New Roman" w:cs="Times New Roman"/>
          <w:sz w:val="24"/>
          <w:szCs w:val="24"/>
        </w:rPr>
      </w:pPr>
      <w:r w:rsidRPr="0086019F">
        <w:rPr>
          <w:rFonts w:ascii="Times New Roman" w:hAnsi="Times New Roman" w:cs="Times New Roman"/>
          <w:sz w:val="24"/>
          <w:szCs w:val="24"/>
        </w:rPr>
        <w:t xml:space="preserve">McCaffrey, O. &amp; Andriotis, A. (2020). Financial Firms Gear Up for Biden and Emboldened Consumer Watchdog. THE WALL STREET JOURNAL. Retrieved from: </w:t>
      </w:r>
      <w:hyperlink r:id="rId6" w:history="1">
        <w:r w:rsidRPr="0086019F">
          <w:rPr>
            <w:rStyle w:val="Hyperlink"/>
            <w:rFonts w:ascii="Times New Roman" w:hAnsi="Times New Roman" w:cs="Times New Roman"/>
            <w:sz w:val="24"/>
            <w:szCs w:val="24"/>
          </w:rPr>
          <w:t>https://www.wsj.com/articles/financial-firms-gear-up-for-biden-and-an-emboldened-consumer-watchdog-11603272600</w:t>
        </w:r>
      </w:hyperlink>
      <w:r w:rsidRPr="0086019F">
        <w:rPr>
          <w:rFonts w:ascii="Times New Roman" w:hAnsi="Times New Roman" w:cs="Times New Roman"/>
          <w:sz w:val="24"/>
          <w:szCs w:val="24"/>
        </w:rPr>
        <w:t xml:space="preserve"> </w:t>
      </w:r>
    </w:p>
    <w:p w:rsidR="00AB5680" w:rsidRPr="0086019F" w:rsidRDefault="00AB5680" w:rsidP="0086019F">
      <w:pPr>
        <w:spacing w:line="480" w:lineRule="auto"/>
        <w:ind w:left="720" w:hanging="720"/>
        <w:rPr>
          <w:rFonts w:ascii="Times New Roman" w:hAnsi="Times New Roman" w:cs="Times New Roman"/>
          <w:sz w:val="24"/>
          <w:szCs w:val="24"/>
        </w:rPr>
      </w:pPr>
    </w:p>
    <w:sectPr w:rsidR="00AB5680" w:rsidRPr="0086019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B1C" w:rsidRDefault="00AA0B1C" w:rsidP="00231D7D">
      <w:pPr>
        <w:spacing w:after="0" w:line="240" w:lineRule="auto"/>
      </w:pPr>
      <w:r>
        <w:separator/>
      </w:r>
    </w:p>
  </w:endnote>
  <w:endnote w:type="continuationSeparator" w:id="0">
    <w:p w:rsidR="00AA0B1C" w:rsidRDefault="00AA0B1C" w:rsidP="00231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B1C" w:rsidRDefault="00AA0B1C" w:rsidP="00231D7D">
      <w:pPr>
        <w:spacing w:after="0" w:line="240" w:lineRule="auto"/>
      </w:pPr>
      <w:r>
        <w:separator/>
      </w:r>
    </w:p>
  </w:footnote>
  <w:footnote w:type="continuationSeparator" w:id="0">
    <w:p w:rsidR="00AA0B1C" w:rsidRDefault="00AA0B1C" w:rsidP="00231D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D7D" w:rsidRPr="00231D7D" w:rsidRDefault="00231D7D">
    <w:pPr>
      <w:pStyle w:val="Header"/>
      <w:rPr>
        <w:rFonts w:ascii="Times New Roman" w:hAnsi="Times New Roman" w:cs="Times New Roman"/>
        <w:sz w:val="24"/>
        <w:szCs w:val="24"/>
      </w:rPr>
    </w:pPr>
    <w:r>
      <w:tab/>
    </w:r>
    <w:r>
      <w:tab/>
    </w:r>
    <w:r w:rsidRPr="00231D7D">
      <w:rPr>
        <w:rFonts w:ascii="Times New Roman" w:hAnsi="Times New Roman" w:cs="Times New Roman"/>
        <w:sz w:val="24"/>
        <w:szCs w:val="24"/>
      </w:rPr>
      <w:fldChar w:fldCharType="begin"/>
    </w:r>
    <w:r w:rsidRPr="00231D7D">
      <w:rPr>
        <w:rFonts w:ascii="Times New Roman" w:hAnsi="Times New Roman" w:cs="Times New Roman"/>
        <w:sz w:val="24"/>
        <w:szCs w:val="24"/>
      </w:rPr>
      <w:instrText xml:space="preserve"> PAGE   \* MERGEFORMAT </w:instrText>
    </w:r>
    <w:r w:rsidRPr="00231D7D">
      <w:rPr>
        <w:rFonts w:ascii="Times New Roman" w:hAnsi="Times New Roman" w:cs="Times New Roman"/>
        <w:sz w:val="24"/>
        <w:szCs w:val="24"/>
      </w:rPr>
      <w:fldChar w:fldCharType="separate"/>
    </w:r>
    <w:r w:rsidR="004202B4">
      <w:rPr>
        <w:rFonts w:ascii="Times New Roman" w:hAnsi="Times New Roman" w:cs="Times New Roman"/>
        <w:noProof/>
        <w:sz w:val="24"/>
        <w:szCs w:val="24"/>
      </w:rPr>
      <w:t>5</w:t>
    </w:r>
    <w:r w:rsidRPr="00231D7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CE2"/>
    <w:rsid w:val="000B50AA"/>
    <w:rsid w:val="000C289C"/>
    <w:rsid w:val="00150B6D"/>
    <w:rsid w:val="00231D7D"/>
    <w:rsid w:val="002B528C"/>
    <w:rsid w:val="002C7A78"/>
    <w:rsid w:val="00385448"/>
    <w:rsid w:val="004202B4"/>
    <w:rsid w:val="004A089F"/>
    <w:rsid w:val="004C3791"/>
    <w:rsid w:val="006D541A"/>
    <w:rsid w:val="007F0CE2"/>
    <w:rsid w:val="008341F5"/>
    <w:rsid w:val="0086019F"/>
    <w:rsid w:val="00920581"/>
    <w:rsid w:val="00AA0B1C"/>
    <w:rsid w:val="00AB5680"/>
    <w:rsid w:val="00B75998"/>
    <w:rsid w:val="00BC3564"/>
    <w:rsid w:val="00BC6E7E"/>
    <w:rsid w:val="00BD22AA"/>
    <w:rsid w:val="00BF6FB3"/>
    <w:rsid w:val="00C03F4C"/>
    <w:rsid w:val="00C55FF4"/>
    <w:rsid w:val="00D24F26"/>
    <w:rsid w:val="00E375A5"/>
    <w:rsid w:val="00E50267"/>
    <w:rsid w:val="00E507DD"/>
    <w:rsid w:val="00F01F3D"/>
    <w:rsid w:val="00F93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3F7443-B95B-4EA0-81F5-58148DEDE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5680"/>
    <w:rPr>
      <w:color w:val="0563C1" w:themeColor="hyperlink"/>
      <w:u w:val="single"/>
    </w:rPr>
  </w:style>
  <w:style w:type="paragraph" w:styleId="Header">
    <w:name w:val="header"/>
    <w:basedOn w:val="Normal"/>
    <w:link w:val="HeaderChar"/>
    <w:uiPriority w:val="99"/>
    <w:unhideWhenUsed/>
    <w:rsid w:val="00231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D7D"/>
  </w:style>
  <w:style w:type="paragraph" w:styleId="Footer">
    <w:name w:val="footer"/>
    <w:basedOn w:val="Normal"/>
    <w:link w:val="FooterChar"/>
    <w:uiPriority w:val="99"/>
    <w:unhideWhenUsed/>
    <w:rsid w:val="00231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4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sj.com/articles/financial-firms-gear-up-for-biden-and-an-emboldened-consumer-watchdog-1160327260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5</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12</cp:revision>
  <dcterms:created xsi:type="dcterms:W3CDTF">2020-11-05T08:00:00Z</dcterms:created>
  <dcterms:modified xsi:type="dcterms:W3CDTF">2020-11-05T12:25:00Z</dcterms:modified>
</cp:coreProperties>
</file>